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DDA5" w14:textId="26246EB8" w:rsidR="009F0AD4" w:rsidRPr="00536296" w:rsidRDefault="00536296" w:rsidP="008269A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Email Template</w:t>
      </w:r>
    </w:p>
    <w:p w14:paraId="6F68232F" w14:textId="3EC0E9AB" w:rsidR="009F0AD4" w:rsidRDefault="009F0AD4" w:rsidP="008269AA">
      <w:pPr>
        <w:rPr>
          <w:rFonts w:ascii="Times New Roman" w:hAnsi="Times New Roman" w:cs="Times New Roman"/>
          <w:bCs/>
        </w:rPr>
      </w:pPr>
    </w:p>
    <w:p w14:paraId="09D10B1C" w14:textId="13FA50CF" w:rsidR="001954C1" w:rsidRDefault="001954C1" w:rsidP="008269AA">
      <w:pPr>
        <w:rPr>
          <w:rFonts w:ascii="Times New Roman" w:hAnsi="Times New Roman" w:cs="Times New Roman"/>
          <w:bCs/>
        </w:rPr>
      </w:pPr>
      <w:r w:rsidRPr="0037683A">
        <w:rPr>
          <w:rFonts w:ascii="Times New Roman" w:hAnsi="Times New Roman" w:cs="Times New Roman"/>
          <w:b/>
        </w:rPr>
        <w:t>Subject:</w:t>
      </w:r>
      <w:r>
        <w:rPr>
          <w:rFonts w:ascii="Times New Roman" w:hAnsi="Times New Roman" w:cs="Times New Roman"/>
          <w:bCs/>
        </w:rPr>
        <w:t xml:space="preserve"> </w:t>
      </w:r>
      <w:r w:rsidR="00304291">
        <w:rPr>
          <w:rFonts w:ascii="Times New Roman" w:hAnsi="Times New Roman" w:cs="Times New Roman"/>
          <w:bCs/>
        </w:rPr>
        <w:t>Five</w:t>
      </w:r>
      <w:r w:rsidR="00AF2F5B">
        <w:rPr>
          <w:rFonts w:ascii="Times New Roman" w:hAnsi="Times New Roman" w:cs="Times New Roman"/>
          <w:bCs/>
        </w:rPr>
        <w:t xml:space="preserve"> </w:t>
      </w:r>
      <w:r w:rsidR="006C6FDA">
        <w:rPr>
          <w:rFonts w:ascii="Times New Roman" w:hAnsi="Times New Roman" w:cs="Times New Roman"/>
          <w:bCs/>
        </w:rPr>
        <w:t>Things You Should Know About Flood Risk Mitigation</w:t>
      </w:r>
    </w:p>
    <w:p w14:paraId="1FA46875" w14:textId="0148033C" w:rsidR="001954C1" w:rsidRDefault="001954C1" w:rsidP="008269AA">
      <w:pPr>
        <w:rPr>
          <w:rFonts w:ascii="Times New Roman" w:hAnsi="Times New Roman" w:cs="Times New Roman"/>
          <w:bCs/>
        </w:rPr>
      </w:pPr>
    </w:p>
    <w:p w14:paraId="42B0C726" w14:textId="05332E9C" w:rsidR="001954C1" w:rsidRDefault="00BA7D1F" w:rsidP="008269A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Mitigation is taking action to retrofit your home or business facility to reduce the risk of flood damage, decrease fina</w:t>
      </w:r>
      <w:r w:rsidR="002465C3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cial losses, and potentially </w:t>
      </w:r>
      <w:r w:rsidR="002465C3">
        <w:rPr>
          <w:rFonts w:ascii="Times New Roman" w:hAnsi="Times New Roman" w:cs="Times New Roman"/>
          <w:bCs/>
        </w:rPr>
        <w:t>save on flood insurance premiums.</w:t>
      </w:r>
      <w:r w:rsidR="00304291">
        <w:rPr>
          <w:rFonts w:ascii="Times New Roman" w:hAnsi="Times New Roman" w:cs="Times New Roman"/>
          <w:bCs/>
        </w:rPr>
        <w:t xml:space="preserve"> Mitigation is especially important if your property is in a high-risk area. Here are a few important facts to know.</w:t>
      </w:r>
    </w:p>
    <w:p w14:paraId="7EDC529E" w14:textId="655A8217" w:rsidR="002465C3" w:rsidRDefault="002465C3" w:rsidP="008269AA">
      <w:pPr>
        <w:rPr>
          <w:rFonts w:ascii="Times New Roman" w:hAnsi="Times New Roman" w:cs="Times New Roman"/>
          <w:bCs/>
        </w:rPr>
      </w:pPr>
    </w:p>
    <w:p w14:paraId="5C3D8E96" w14:textId="0AECAA88" w:rsidR="002465C3" w:rsidRPr="0037683A" w:rsidRDefault="002465C3" w:rsidP="002465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37683A">
        <w:rPr>
          <w:rFonts w:ascii="Times New Roman" w:hAnsi="Times New Roman" w:cs="Times New Roman"/>
          <w:b/>
        </w:rPr>
        <w:t xml:space="preserve">There are </w:t>
      </w:r>
      <w:r w:rsidR="00AF2F5B" w:rsidRPr="0037683A">
        <w:rPr>
          <w:rFonts w:ascii="Times New Roman" w:hAnsi="Times New Roman" w:cs="Times New Roman"/>
          <w:b/>
        </w:rPr>
        <w:t>s</w:t>
      </w:r>
      <w:r w:rsidRPr="0037683A">
        <w:rPr>
          <w:rFonts w:ascii="Times New Roman" w:hAnsi="Times New Roman" w:cs="Times New Roman"/>
          <w:b/>
        </w:rPr>
        <w:t xml:space="preserve">everal </w:t>
      </w:r>
      <w:r w:rsidR="00AF2F5B" w:rsidRPr="0037683A">
        <w:rPr>
          <w:rFonts w:ascii="Times New Roman" w:hAnsi="Times New Roman" w:cs="Times New Roman"/>
          <w:b/>
        </w:rPr>
        <w:t>t</w:t>
      </w:r>
      <w:r w:rsidRPr="0037683A">
        <w:rPr>
          <w:rFonts w:ascii="Times New Roman" w:hAnsi="Times New Roman" w:cs="Times New Roman"/>
          <w:b/>
        </w:rPr>
        <w:t xml:space="preserve">ypes of </w:t>
      </w:r>
      <w:r w:rsidR="00AF2F5B" w:rsidRPr="0037683A">
        <w:rPr>
          <w:rFonts w:ascii="Times New Roman" w:hAnsi="Times New Roman" w:cs="Times New Roman"/>
          <w:b/>
        </w:rPr>
        <w:t>m</w:t>
      </w:r>
      <w:r w:rsidRPr="0037683A">
        <w:rPr>
          <w:rFonts w:ascii="Times New Roman" w:hAnsi="Times New Roman" w:cs="Times New Roman"/>
          <w:b/>
        </w:rPr>
        <w:t>itigation</w:t>
      </w:r>
      <w:r w:rsidR="0037683A">
        <w:rPr>
          <w:rFonts w:ascii="Times New Roman" w:hAnsi="Times New Roman" w:cs="Times New Roman"/>
          <w:b/>
        </w:rPr>
        <w:t xml:space="preserve">, </w:t>
      </w:r>
      <w:r w:rsidR="0037683A">
        <w:rPr>
          <w:rFonts w:ascii="Times New Roman" w:hAnsi="Times New Roman" w:cs="Times New Roman"/>
          <w:bCs/>
        </w:rPr>
        <w:t xml:space="preserve">such as elevating a structure above the base flood elevation, adding flood holes to allow water to flow through unoccupied areas, </w:t>
      </w:r>
      <w:r w:rsidR="00304291">
        <w:rPr>
          <w:rFonts w:ascii="Times New Roman" w:hAnsi="Times New Roman" w:cs="Times New Roman"/>
          <w:bCs/>
        </w:rPr>
        <w:t xml:space="preserve">filling in a basement, </w:t>
      </w:r>
      <w:r w:rsidR="005846C7">
        <w:rPr>
          <w:rFonts w:ascii="Times New Roman" w:hAnsi="Times New Roman" w:cs="Times New Roman"/>
          <w:bCs/>
        </w:rPr>
        <w:t xml:space="preserve">elevating building systems and utilities, and even moving a building outside the high-risk area. </w:t>
      </w:r>
    </w:p>
    <w:p w14:paraId="6310C9C7" w14:textId="7A6E927E" w:rsidR="002465C3" w:rsidRPr="0037683A" w:rsidRDefault="002465C3" w:rsidP="002465C3">
      <w:pPr>
        <w:rPr>
          <w:rFonts w:ascii="Times New Roman" w:hAnsi="Times New Roman" w:cs="Times New Roman"/>
          <w:b/>
        </w:rPr>
      </w:pPr>
    </w:p>
    <w:p w14:paraId="7EF6F7D0" w14:textId="391BBD25" w:rsidR="002465C3" w:rsidRPr="005846C7" w:rsidRDefault="00AF2F5B" w:rsidP="002465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5846C7">
        <w:rPr>
          <w:rFonts w:ascii="Times New Roman" w:hAnsi="Times New Roman" w:cs="Times New Roman"/>
          <w:b/>
        </w:rPr>
        <w:t xml:space="preserve">If your property is damaged by flooding, you </w:t>
      </w:r>
      <w:r w:rsidR="00FC3629">
        <w:rPr>
          <w:rFonts w:ascii="Times New Roman" w:hAnsi="Times New Roman" w:cs="Times New Roman"/>
          <w:b/>
        </w:rPr>
        <w:t>might</w:t>
      </w:r>
      <w:r w:rsidRPr="005846C7">
        <w:rPr>
          <w:rFonts w:ascii="Times New Roman" w:hAnsi="Times New Roman" w:cs="Times New Roman"/>
          <w:b/>
        </w:rPr>
        <w:t xml:space="preserve"> be required to complete mitigation before you can repair or rebuil</w:t>
      </w:r>
      <w:r w:rsidR="002A0D2D">
        <w:rPr>
          <w:rFonts w:ascii="Times New Roman" w:hAnsi="Times New Roman" w:cs="Times New Roman"/>
          <w:b/>
        </w:rPr>
        <w:t>d</w:t>
      </w:r>
      <w:r w:rsidR="00304291">
        <w:rPr>
          <w:rFonts w:ascii="Times New Roman" w:hAnsi="Times New Roman" w:cs="Times New Roman"/>
          <w:b/>
        </w:rPr>
        <w:t xml:space="preserve"> it</w:t>
      </w:r>
      <w:r w:rsidR="002A0D2D">
        <w:rPr>
          <w:rFonts w:ascii="Times New Roman" w:hAnsi="Times New Roman" w:cs="Times New Roman"/>
          <w:b/>
        </w:rPr>
        <w:t>.</w:t>
      </w:r>
      <w:r w:rsidR="005846C7">
        <w:rPr>
          <w:rFonts w:ascii="Times New Roman" w:hAnsi="Times New Roman" w:cs="Times New Roman"/>
          <w:b/>
        </w:rPr>
        <w:t xml:space="preserve"> </w:t>
      </w:r>
      <w:r w:rsidR="005846C7">
        <w:rPr>
          <w:rFonts w:ascii="Times New Roman" w:hAnsi="Times New Roman" w:cs="Times New Roman"/>
          <w:bCs/>
        </w:rPr>
        <w:t>Your community may require you to</w:t>
      </w:r>
      <w:r w:rsidR="002A0D2D">
        <w:rPr>
          <w:rFonts w:ascii="Times New Roman" w:hAnsi="Times New Roman" w:cs="Times New Roman"/>
          <w:bCs/>
        </w:rPr>
        <w:t xml:space="preserve"> comply with flood plain ordinances</w:t>
      </w:r>
      <w:r w:rsidR="00962B8B">
        <w:rPr>
          <w:rFonts w:ascii="Times New Roman" w:hAnsi="Times New Roman" w:cs="Times New Roman"/>
          <w:bCs/>
        </w:rPr>
        <w:t xml:space="preserve"> by completing one or more types of mitigation.</w:t>
      </w:r>
    </w:p>
    <w:p w14:paraId="5F337CCF" w14:textId="77777777" w:rsidR="00AF2F5B" w:rsidRPr="00AF2F5B" w:rsidRDefault="00AF2F5B" w:rsidP="00AF2F5B">
      <w:pPr>
        <w:pStyle w:val="ListParagraph"/>
        <w:rPr>
          <w:rFonts w:ascii="Times New Roman" w:hAnsi="Times New Roman" w:cs="Times New Roman"/>
          <w:bCs/>
        </w:rPr>
      </w:pPr>
    </w:p>
    <w:p w14:paraId="3008DDD8" w14:textId="31976289" w:rsidR="00AF2F5B" w:rsidRDefault="00252E92" w:rsidP="002465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If you have an NFIP policy and live in a high-risk area, </w:t>
      </w:r>
      <w:r w:rsidRPr="002A0D2D">
        <w:rPr>
          <w:rFonts w:ascii="Times New Roman" w:hAnsi="Times New Roman" w:cs="Times New Roman"/>
          <w:b/>
        </w:rPr>
        <w:t>you may qualify for Increased Cost of Compliance coverage</w:t>
      </w:r>
      <w:r w:rsidR="002A0D2D" w:rsidRPr="002A0D2D">
        <w:rPr>
          <w:rFonts w:ascii="Times New Roman" w:hAnsi="Times New Roman" w:cs="Times New Roman"/>
          <w:b/>
        </w:rPr>
        <w:t xml:space="preserve"> to help cover required mitigation costs</w:t>
      </w:r>
      <w:r w:rsidR="002A0D2D">
        <w:rPr>
          <w:rFonts w:ascii="Times New Roman" w:hAnsi="Times New Roman" w:cs="Times New Roman"/>
          <w:bCs/>
        </w:rPr>
        <w:t>.</w:t>
      </w:r>
      <w:r w:rsidR="00821AAC">
        <w:rPr>
          <w:rFonts w:ascii="Times New Roman" w:hAnsi="Times New Roman" w:cs="Times New Roman"/>
          <w:bCs/>
        </w:rPr>
        <w:t xml:space="preserve"> To qualify, the damage must be </w:t>
      </w:r>
      <w:r w:rsidR="00A42B79">
        <w:rPr>
          <w:rFonts w:ascii="Times New Roman" w:hAnsi="Times New Roman" w:cs="Times New Roman"/>
          <w:bCs/>
        </w:rPr>
        <w:t xml:space="preserve">equivalent to at least 50% of your property’s value, or </w:t>
      </w:r>
      <w:r w:rsidR="00962B8B">
        <w:rPr>
          <w:rFonts w:ascii="Times New Roman" w:hAnsi="Times New Roman" w:cs="Times New Roman"/>
          <w:bCs/>
        </w:rPr>
        <w:t>your property</w:t>
      </w:r>
      <w:r w:rsidR="00A42B79">
        <w:rPr>
          <w:rFonts w:ascii="Times New Roman" w:hAnsi="Times New Roman" w:cs="Times New Roman"/>
          <w:bCs/>
        </w:rPr>
        <w:t xml:space="preserve"> must have had flood damage twice over ten years, with the combined damage equivalent to at least 50% of </w:t>
      </w:r>
      <w:r w:rsidR="008C17BB">
        <w:rPr>
          <w:rFonts w:ascii="Times New Roman" w:hAnsi="Times New Roman" w:cs="Times New Roman"/>
          <w:bCs/>
        </w:rPr>
        <w:t>its</w:t>
      </w:r>
      <w:r w:rsidR="00A42B79">
        <w:rPr>
          <w:rFonts w:ascii="Times New Roman" w:hAnsi="Times New Roman" w:cs="Times New Roman"/>
          <w:bCs/>
        </w:rPr>
        <w:t xml:space="preserve"> value. </w:t>
      </w:r>
      <w:r w:rsidR="00A42B79" w:rsidRPr="002B760E">
        <w:rPr>
          <w:rFonts w:ascii="Times New Roman" w:hAnsi="Times New Roman" w:cs="Times New Roman"/>
          <w:b/>
        </w:rPr>
        <w:t>Up to $30,000 is</w:t>
      </w:r>
      <w:r w:rsidR="00A42B79">
        <w:rPr>
          <w:rFonts w:ascii="Times New Roman" w:hAnsi="Times New Roman" w:cs="Times New Roman"/>
          <w:bCs/>
        </w:rPr>
        <w:t xml:space="preserve"> available to comply with state or local flood plain </w:t>
      </w:r>
      <w:r w:rsidR="002B760E">
        <w:rPr>
          <w:rFonts w:ascii="Times New Roman" w:hAnsi="Times New Roman" w:cs="Times New Roman"/>
          <w:bCs/>
        </w:rPr>
        <w:t>ordinance r</w:t>
      </w:r>
      <w:r w:rsidR="00A42B79">
        <w:rPr>
          <w:rFonts w:ascii="Times New Roman" w:hAnsi="Times New Roman" w:cs="Times New Roman"/>
          <w:bCs/>
        </w:rPr>
        <w:t>equirements.</w:t>
      </w:r>
    </w:p>
    <w:p w14:paraId="261798A8" w14:textId="77777777" w:rsidR="00252E92" w:rsidRPr="00252E92" w:rsidRDefault="00252E92" w:rsidP="00252E92">
      <w:pPr>
        <w:pStyle w:val="ListParagraph"/>
        <w:rPr>
          <w:rFonts w:ascii="Times New Roman" w:hAnsi="Times New Roman" w:cs="Times New Roman"/>
          <w:bCs/>
        </w:rPr>
      </w:pPr>
    </w:p>
    <w:p w14:paraId="3CE7DD0A" w14:textId="2A68610E" w:rsidR="00252E92" w:rsidRPr="00821AAC" w:rsidRDefault="00252E92" w:rsidP="002465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821AAC">
        <w:rPr>
          <w:rFonts w:ascii="Times New Roman" w:hAnsi="Times New Roman" w:cs="Times New Roman"/>
          <w:b/>
        </w:rPr>
        <w:t>Your community may have grants available to help pay for mitigation.</w:t>
      </w:r>
      <w:r w:rsidR="00801955">
        <w:rPr>
          <w:rFonts w:ascii="Times New Roman" w:hAnsi="Times New Roman" w:cs="Times New Roman"/>
          <w:b/>
        </w:rPr>
        <w:t xml:space="preserve"> </w:t>
      </w:r>
      <w:r w:rsidR="00801955">
        <w:rPr>
          <w:rFonts w:ascii="Times New Roman" w:hAnsi="Times New Roman" w:cs="Times New Roman"/>
          <w:bCs/>
        </w:rPr>
        <w:t>Talk to local officials</w:t>
      </w:r>
      <w:r w:rsidR="002B760E">
        <w:rPr>
          <w:rFonts w:ascii="Times New Roman" w:hAnsi="Times New Roman" w:cs="Times New Roman"/>
          <w:bCs/>
        </w:rPr>
        <w:t xml:space="preserve"> about any grants and encourage them to apply.</w:t>
      </w:r>
    </w:p>
    <w:p w14:paraId="59B5B64F" w14:textId="3081507D" w:rsidR="002465C3" w:rsidRPr="00821AAC" w:rsidRDefault="002465C3" w:rsidP="002465C3">
      <w:pPr>
        <w:rPr>
          <w:rFonts w:ascii="Times New Roman" w:hAnsi="Times New Roman" w:cs="Times New Roman"/>
          <w:b/>
        </w:rPr>
      </w:pPr>
    </w:p>
    <w:p w14:paraId="6BF9A2D9" w14:textId="69280B8F" w:rsidR="002465C3" w:rsidRPr="007479BE" w:rsidRDefault="002B760E" w:rsidP="002B76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2B760E">
        <w:rPr>
          <w:rFonts w:ascii="Times New Roman" w:hAnsi="Times New Roman" w:cs="Times New Roman"/>
          <w:b/>
        </w:rPr>
        <w:t xml:space="preserve">You still need flood insurance after you complete mitigation. </w:t>
      </w:r>
      <w:r w:rsidR="007479BE">
        <w:rPr>
          <w:rFonts w:ascii="Times New Roman" w:hAnsi="Times New Roman" w:cs="Times New Roman"/>
          <w:bCs/>
        </w:rPr>
        <w:t xml:space="preserve">Mitigation reduces flood risk but can’t </w:t>
      </w:r>
      <w:r w:rsidR="008C17BB">
        <w:rPr>
          <w:rFonts w:ascii="Times New Roman" w:hAnsi="Times New Roman" w:cs="Times New Roman"/>
          <w:bCs/>
        </w:rPr>
        <w:t>eliminate</w:t>
      </w:r>
      <w:r w:rsidR="007479BE">
        <w:rPr>
          <w:rFonts w:ascii="Times New Roman" w:hAnsi="Times New Roman" w:cs="Times New Roman"/>
          <w:bCs/>
        </w:rPr>
        <w:t xml:space="preserve"> it.</w:t>
      </w:r>
    </w:p>
    <w:p w14:paraId="5BDCB18D" w14:textId="77777777" w:rsidR="007479BE" w:rsidRPr="007479BE" w:rsidRDefault="007479BE" w:rsidP="007479BE">
      <w:pPr>
        <w:pStyle w:val="ListParagraph"/>
        <w:rPr>
          <w:rFonts w:ascii="Times New Roman" w:hAnsi="Times New Roman" w:cs="Times New Roman"/>
          <w:b/>
        </w:rPr>
      </w:pPr>
    </w:p>
    <w:p w14:paraId="1C2F40FC" w14:textId="37E8A2C7" w:rsidR="007479BE" w:rsidRDefault="00962B8B" w:rsidP="00747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find more mitigation information at </w:t>
      </w:r>
      <w:hyperlink r:id="rId10" w:history="1">
        <w:r w:rsidRPr="00962B8B">
          <w:rPr>
            <w:rStyle w:val="Hyperlink"/>
            <w:rFonts w:ascii="Times New Roman" w:hAnsi="Times New Roman" w:cs="Times New Roman"/>
          </w:rPr>
          <w:t>FloodSmart.gov</w:t>
        </w:r>
      </w:hyperlink>
      <w:r>
        <w:rPr>
          <w:rFonts w:ascii="Times New Roman" w:hAnsi="Times New Roman" w:cs="Times New Roman"/>
        </w:rPr>
        <w:t xml:space="preserve">, and contact me at your convenience to discuss flood risk, </w:t>
      </w:r>
      <w:r w:rsidR="00413B77">
        <w:rPr>
          <w:rFonts w:ascii="Times New Roman" w:hAnsi="Times New Roman" w:cs="Times New Roman"/>
        </w:rPr>
        <w:t>review your current coverage, or the explore the benefits of mitigation.</w:t>
      </w:r>
    </w:p>
    <w:p w14:paraId="02D69AD8" w14:textId="7DFEFD7F" w:rsidR="00413B77" w:rsidRDefault="00413B77" w:rsidP="007479BE">
      <w:pPr>
        <w:rPr>
          <w:rFonts w:ascii="Times New Roman" w:hAnsi="Times New Roman" w:cs="Times New Roman"/>
        </w:rPr>
      </w:pPr>
    </w:p>
    <w:p w14:paraId="3A4FF7B6" w14:textId="77777777" w:rsidR="00413B77" w:rsidRDefault="00413B77" w:rsidP="007479BE">
      <w:pPr>
        <w:rPr>
          <w:rFonts w:ascii="Times New Roman" w:hAnsi="Times New Roman" w:cs="Times New Roman"/>
        </w:rPr>
      </w:pPr>
    </w:p>
    <w:p w14:paraId="4DC283CF" w14:textId="77777777" w:rsidR="007479BE" w:rsidRPr="007479BE" w:rsidRDefault="007479BE" w:rsidP="007479BE">
      <w:pPr>
        <w:rPr>
          <w:rFonts w:ascii="Times New Roman" w:hAnsi="Times New Roman" w:cs="Times New Roman"/>
          <w:b/>
        </w:rPr>
      </w:pPr>
    </w:p>
    <w:sectPr w:rsidR="007479BE" w:rsidRPr="007479BE" w:rsidSect="00E3354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06C90" w14:textId="77777777" w:rsidR="00793DB8" w:rsidRDefault="00793DB8" w:rsidP="00A41F9D">
      <w:r>
        <w:separator/>
      </w:r>
    </w:p>
  </w:endnote>
  <w:endnote w:type="continuationSeparator" w:id="0">
    <w:p w14:paraId="2938B366" w14:textId="77777777" w:rsidR="00793DB8" w:rsidRDefault="00793DB8" w:rsidP="00A4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altName w:val="Calibri"/>
    <w:charset w:val="00"/>
    <w:family w:val="auto"/>
    <w:pitch w:val="default"/>
  </w:font>
  <w:font w:name="Times">
    <w:altName w:val="﷽﷽﷽﷽﷽﷽⸷Ɛ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D039C" w14:textId="209A35CA" w:rsidR="00A41F9D" w:rsidRDefault="00A41F9D" w:rsidP="00A41F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before="160"/>
      <w:jc w:val="both"/>
      <w:rPr>
        <w:color w:val="000000"/>
        <w:sz w:val="16"/>
        <w:szCs w:val="16"/>
      </w:rPr>
    </w:pPr>
    <w:r>
      <w:rPr>
        <w:sz w:val="16"/>
        <w:szCs w:val="16"/>
      </w:rPr>
      <w:tab/>
    </w: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  <w:shd w:val="clear" w:color="auto" w:fill="E6E6E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  <w:shd w:val="clear" w:color="auto" w:fill="E6E6E6"/>
      </w:rPr>
      <w:fldChar w:fldCharType="separate"/>
    </w:r>
    <w:r>
      <w:rPr>
        <w:color w:val="000000"/>
        <w:sz w:val="16"/>
        <w:szCs w:val="16"/>
      </w:rPr>
      <w:t>1</w:t>
    </w:r>
    <w:r>
      <w:rPr>
        <w:color w:val="000000"/>
        <w:sz w:val="16"/>
        <w:szCs w:val="16"/>
        <w:shd w:val="clear" w:color="auto" w:fill="E6E6E6"/>
      </w:rPr>
      <w:fldChar w:fldCharType="end"/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D6066A5" wp14:editId="464E7BCB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5947719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2141" y="3780000"/>
                        <a:ext cx="5947719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518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6C521196">
            <v:shapetype id="_x0000_t32" coordsize="21600,21600" o:oned="t" filled="f" o:spt="32" path="m,l21600,21600e" w14:anchorId="72A79338">
              <v:path fillok="f" arrowok="t" o:connecttype="none"/>
              <o:lock v:ext="edit" shapetype="t"/>
            </v:shapetype>
            <v:shape id="Straight Arrow Connector 2" style="position:absolute;margin-left:2pt;margin-top:0;width:468.3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5188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">
              <v:stroke joinstyle="miter" startarrowwidth="narrow" startarrowlength="short" endarrowwidth="narrow" endarrowlength="short"/>
            </v:shape>
          </w:pict>
        </mc:Fallback>
      </mc:AlternateContent>
    </w:r>
  </w:p>
  <w:p w14:paraId="79B6560B" w14:textId="77777777" w:rsidR="00A41F9D" w:rsidRPr="00A41F9D" w:rsidRDefault="00A41F9D" w:rsidP="00A41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52EBD" w14:textId="77777777" w:rsidR="00793DB8" w:rsidRDefault="00793DB8" w:rsidP="00A41F9D">
      <w:r>
        <w:separator/>
      </w:r>
    </w:p>
  </w:footnote>
  <w:footnote w:type="continuationSeparator" w:id="0">
    <w:p w14:paraId="04B91112" w14:textId="77777777" w:rsidR="00793DB8" w:rsidRDefault="00793DB8" w:rsidP="00A4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C2C36" w14:textId="12445185" w:rsidR="00A41F9D" w:rsidRDefault="00A41F9D">
    <w:pPr>
      <w:pStyle w:val="Header"/>
    </w:pPr>
    <w:r w:rsidRPr="0077125C">
      <w:rPr>
        <w:rFonts w:ascii="Times" w:hAnsi="Times"/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hidden="0" allowOverlap="1" wp14:anchorId="61F806D9" wp14:editId="171E2783">
          <wp:simplePos x="0" y="0"/>
          <wp:positionH relativeFrom="margin">
            <wp:posOffset>-612297</wp:posOffset>
          </wp:positionH>
          <wp:positionV relativeFrom="margin">
            <wp:posOffset>-755748</wp:posOffset>
          </wp:positionV>
          <wp:extent cx="3223967" cy="739386"/>
          <wp:effectExtent l="0" t="0" r="1905" b="0"/>
          <wp:wrapSquare wrapText="bothSides" distT="0" distB="0" distL="114300" distR="114300"/>
          <wp:docPr id="3" name="image2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3967" cy="73938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13EB"/>
    <w:multiLevelType w:val="hybridMultilevel"/>
    <w:tmpl w:val="F74A5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4B45"/>
    <w:multiLevelType w:val="hybridMultilevel"/>
    <w:tmpl w:val="C318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1D3"/>
    <w:multiLevelType w:val="hybridMultilevel"/>
    <w:tmpl w:val="1700B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7B40"/>
    <w:multiLevelType w:val="hybridMultilevel"/>
    <w:tmpl w:val="114E4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547C"/>
    <w:multiLevelType w:val="hybridMultilevel"/>
    <w:tmpl w:val="01849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70BCF"/>
    <w:multiLevelType w:val="hybridMultilevel"/>
    <w:tmpl w:val="3F389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38CC"/>
    <w:multiLevelType w:val="hybridMultilevel"/>
    <w:tmpl w:val="7F28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7689"/>
    <w:multiLevelType w:val="hybridMultilevel"/>
    <w:tmpl w:val="A004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DAC"/>
    <w:multiLevelType w:val="hybridMultilevel"/>
    <w:tmpl w:val="F5E2A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773AE"/>
    <w:multiLevelType w:val="hybridMultilevel"/>
    <w:tmpl w:val="86BC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04F19"/>
    <w:multiLevelType w:val="hybridMultilevel"/>
    <w:tmpl w:val="77D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325E6"/>
    <w:multiLevelType w:val="hybridMultilevel"/>
    <w:tmpl w:val="52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D46ED"/>
    <w:multiLevelType w:val="hybridMultilevel"/>
    <w:tmpl w:val="CEEC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9D"/>
    <w:rsid w:val="0003202B"/>
    <w:rsid w:val="00047759"/>
    <w:rsid w:val="0008001B"/>
    <w:rsid w:val="00083932"/>
    <w:rsid w:val="000A6D50"/>
    <w:rsid w:val="000C5ED6"/>
    <w:rsid w:val="00115F72"/>
    <w:rsid w:val="00143F9C"/>
    <w:rsid w:val="00160862"/>
    <w:rsid w:val="00177D9B"/>
    <w:rsid w:val="001937FA"/>
    <w:rsid w:val="001954C1"/>
    <w:rsid w:val="001B37B8"/>
    <w:rsid w:val="001B6388"/>
    <w:rsid w:val="001B7FD1"/>
    <w:rsid w:val="001F535E"/>
    <w:rsid w:val="002129A5"/>
    <w:rsid w:val="0022618D"/>
    <w:rsid w:val="00226AC5"/>
    <w:rsid w:val="00233887"/>
    <w:rsid w:val="002465C3"/>
    <w:rsid w:val="00252E92"/>
    <w:rsid w:val="00296707"/>
    <w:rsid w:val="002A0D2D"/>
    <w:rsid w:val="002B760E"/>
    <w:rsid w:val="002C2E59"/>
    <w:rsid w:val="002D4C92"/>
    <w:rsid w:val="002E40BF"/>
    <w:rsid w:val="00304291"/>
    <w:rsid w:val="00306257"/>
    <w:rsid w:val="00315665"/>
    <w:rsid w:val="003221AA"/>
    <w:rsid w:val="00324331"/>
    <w:rsid w:val="003453D2"/>
    <w:rsid w:val="0036555B"/>
    <w:rsid w:val="00372F0D"/>
    <w:rsid w:val="0037683A"/>
    <w:rsid w:val="003A0DE0"/>
    <w:rsid w:val="003A3E2B"/>
    <w:rsid w:val="003A7142"/>
    <w:rsid w:val="003B2373"/>
    <w:rsid w:val="003E51B1"/>
    <w:rsid w:val="003E6A1D"/>
    <w:rsid w:val="003F193C"/>
    <w:rsid w:val="00406B6C"/>
    <w:rsid w:val="0041327E"/>
    <w:rsid w:val="00413B77"/>
    <w:rsid w:val="0042041D"/>
    <w:rsid w:val="0042084B"/>
    <w:rsid w:val="004332C9"/>
    <w:rsid w:val="00486D0F"/>
    <w:rsid w:val="004C5C14"/>
    <w:rsid w:val="004D2869"/>
    <w:rsid w:val="004D37C6"/>
    <w:rsid w:val="004E197C"/>
    <w:rsid w:val="004E5405"/>
    <w:rsid w:val="005173D0"/>
    <w:rsid w:val="00520536"/>
    <w:rsid w:val="00520B80"/>
    <w:rsid w:val="005325BF"/>
    <w:rsid w:val="005352EA"/>
    <w:rsid w:val="00536296"/>
    <w:rsid w:val="00555B71"/>
    <w:rsid w:val="00583D58"/>
    <w:rsid w:val="005846C7"/>
    <w:rsid w:val="005A3185"/>
    <w:rsid w:val="005B52CF"/>
    <w:rsid w:val="005C5A35"/>
    <w:rsid w:val="005C7339"/>
    <w:rsid w:val="005D2F38"/>
    <w:rsid w:val="005D61BF"/>
    <w:rsid w:val="005F4A4B"/>
    <w:rsid w:val="00611A6C"/>
    <w:rsid w:val="00615E2C"/>
    <w:rsid w:val="00631CDB"/>
    <w:rsid w:val="006342F8"/>
    <w:rsid w:val="00690FD1"/>
    <w:rsid w:val="0069273F"/>
    <w:rsid w:val="00694F24"/>
    <w:rsid w:val="006A5721"/>
    <w:rsid w:val="006C6FDA"/>
    <w:rsid w:val="006E0857"/>
    <w:rsid w:val="0072566E"/>
    <w:rsid w:val="007450B2"/>
    <w:rsid w:val="007479BE"/>
    <w:rsid w:val="00762A03"/>
    <w:rsid w:val="00787111"/>
    <w:rsid w:val="0078717E"/>
    <w:rsid w:val="00793DB8"/>
    <w:rsid w:val="007B3B72"/>
    <w:rsid w:val="007C4A22"/>
    <w:rsid w:val="00800A7D"/>
    <w:rsid w:val="00801955"/>
    <w:rsid w:val="00821AAC"/>
    <w:rsid w:val="008269AA"/>
    <w:rsid w:val="00830005"/>
    <w:rsid w:val="00833229"/>
    <w:rsid w:val="008C17BB"/>
    <w:rsid w:val="008C20F9"/>
    <w:rsid w:val="008C3091"/>
    <w:rsid w:val="008D4B14"/>
    <w:rsid w:val="008F1572"/>
    <w:rsid w:val="008F7F85"/>
    <w:rsid w:val="0090407E"/>
    <w:rsid w:val="0091477D"/>
    <w:rsid w:val="00917F67"/>
    <w:rsid w:val="00921718"/>
    <w:rsid w:val="009258C7"/>
    <w:rsid w:val="00933A40"/>
    <w:rsid w:val="0094040F"/>
    <w:rsid w:val="00945176"/>
    <w:rsid w:val="0096241B"/>
    <w:rsid w:val="00962B8B"/>
    <w:rsid w:val="009635AA"/>
    <w:rsid w:val="009B590F"/>
    <w:rsid w:val="009D346A"/>
    <w:rsid w:val="009D66C6"/>
    <w:rsid w:val="009E18BD"/>
    <w:rsid w:val="009F0AD4"/>
    <w:rsid w:val="00A031EC"/>
    <w:rsid w:val="00A41F9D"/>
    <w:rsid w:val="00A42B79"/>
    <w:rsid w:val="00A771DF"/>
    <w:rsid w:val="00A86EC4"/>
    <w:rsid w:val="00AA55F2"/>
    <w:rsid w:val="00AC49C1"/>
    <w:rsid w:val="00AD54BD"/>
    <w:rsid w:val="00AD7BAE"/>
    <w:rsid w:val="00AE5E4C"/>
    <w:rsid w:val="00AE6220"/>
    <w:rsid w:val="00AF2F5B"/>
    <w:rsid w:val="00AF454F"/>
    <w:rsid w:val="00B03106"/>
    <w:rsid w:val="00B13EA1"/>
    <w:rsid w:val="00B36108"/>
    <w:rsid w:val="00B5709C"/>
    <w:rsid w:val="00B80C5A"/>
    <w:rsid w:val="00B820B0"/>
    <w:rsid w:val="00B85E36"/>
    <w:rsid w:val="00BA0C98"/>
    <w:rsid w:val="00BA7D1F"/>
    <w:rsid w:val="00BC2A60"/>
    <w:rsid w:val="00BC2F5F"/>
    <w:rsid w:val="00BE0996"/>
    <w:rsid w:val="00C13149"/>
    <w:rsid w:val="00C1501D"/>
    <w:rsid w:val="00C1613F"/>
    <w:rsid w:val="00C17F8A"/>
    <w:rsid w:val="00C468B2"/>
    <w:rsid w:val="00C845FC"/>
    <w:rsid w:val="00C91B69"/>
    <w:rsid w:val="00C97028"/>
    <w:rsid w:val="00CA2911"/>
    <w:rsid w:val="00CA5C50"/>
    <w:rsid w:val="00CC1341"/>
    <w:rsid w:val="00CF131C"/>
    <w:rsid w:val="00D12AAB"/>
    <w:rsid w:val="00D13518"/>
    <w:rsid w:val="00D16D52"/>
    <w:rsid w:val="00D351E0"/>
    <w:rsid w:val="00D6476B"/>
    <w:rsid w:val="00D725E1"/>
    <w:rsid w:val="00DA37C8"/>
    <w:rsid w:val="00DA760A"/>
    <w:rsid w:val="00DC0481"/>
    <w:rsid w:val="00DC7070"/>
    <w:rsid w:val="00DE795F"/>
    <w:rsid w:val="00E00C84"/>
    <w:rsid w:val="00E2135D"/>
    <w:rsid w:val="00E26033"/>
    <w:rsid w:val="00E2746E"/>
    <w:rsid w:val="00E32EA7"/>
    <w:rsid w:val="00E33542"/>
    <w:rsid w:val="00E36E11"/>
    <w:rsid w:val="00E42C09"/>
    <w:rsid w:val="00E523C5"/>
    <w:rsid w:val="00E664E3"/>
    <w:rsid w:val="00EB17CE"/>
    <w:rsid w:val="00F26295"/>
    <w:rsid w:val="00F61781"/>
    <w:rsid w:val="00FC3629"/>
    <w:rsid w:val="00FC76B2"/>
    <w:rsid w:val="00FD797A"/>
    <w:rsid w:val="00FE76A0"/>
    <w:rsid w:val="03F0FF09"/>
    <w:rsid w:val="0DA1B070"/>
    <w:rsid w:val="131D07C3"/>
    <w:rsid w:val="18C79080"/>
    <w:rsid w:val="1A79C6B7"/>
    <w:rsid w:val="1AF941F1"/>
    <w:rsid w:val="273F2162"/>
    <w:rsid w:val="27908524"/>
    <w:rsid w:val="32735BB9"/>
    <w:rsid w:val="35AAFC7B"/>
    <w:rsid w:val="4E313CE3"/>
    <w:rsid w:val="62BF3F7F"/>
    <w:rsid w:val="66356A55"/>
    <w:rsid w:val="6ECFF65B"/>
    <w:rsid w:val="6FC414C0"/>
    <w:rsid w:val="714A2256"/>
    <w:rsid w:val="73D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3D3F"/>
  <w14:defaultImageDpi w14:val="32767"/>
  <w15:chartTrackingRefBased/>
  <w15:docId w15:val="{4A681887-2030-3141-A4B8-EF0891CC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1F9D"/>
    <w:rPr>
      <w:rFonts w:ascii="Libre Franklin" w:eastAsia="Libre Franklin" w:hAnsi="Libre Franklin" w:cs="Libre Franklin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F9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41F9D"/>
  </w:style>
  <w:style w:type="paragraph" w:styleId="Footer">
    <w:name w:val="footer"/>
    <w:basedOn w:val="Normal"/>
    <w:link w:val="FooterChar"/>
    <w:uiPriority w:val="99"/>
    <w:unhideWhenUsed/>
    <w:rsid w:val="00A41F9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41F9D"/>
  </w:style>
  <w:style w:type="paragraph" w:styleId="ListParagraph">
    <w:name w:val="List Paragraph"/>
    <w:basedOn w:val="Normal"/>
    <w:uiPriority w:val="34"/>
    <w:qFormat/>
    <w:rsid w:val="00A41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F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9D"/>
    <w:rPr>
      <w:rFonts w:ascii="Times New Roman" w:eastAsia="Libre Franklin" w:hAnsi="Times New Roman" w:cs="Times New Roman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B36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6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0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F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FD1"/>
    <w:rPr>
      <w:rFonts w:ascii="Libre Franklin" w:eastAsia="Libre Franklin" w:hAnsi="Libre Franklin" w:cs="Libre Franklin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FD1"/>
    <w:rPr>
      <w:rFonts w:ascii="Libre Franklin" w:eastAsia="Libre Franklin" w:hAnsi="Libre Franklin" w:cs="Libre Franklin"/>
      <w:b/>
      <w:bCs/>
      <w:sz w:val="20"/>
      <w:szCs w:val="20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CA5C5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loodsmart.gov/costs/how-can-i-pay-less-for-my-flood-insur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3" ma:contentTypeDescription="Create a new document." ma:contentTypeScope="" ma:versionID="ec792c1c2e380aa3d7b407c9638a3ec2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2CB2E-EFC5-465F-9359-8556B6B1F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D1737-462E-47AB-8665-EE9FB0492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bd9d-c3d9-4257-8870-de11dc169b3f"/>
    <ds:schemaRef ds:uri="c4c9f3ac-7c53-4f97-8d5c-f5324fac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F33E6-0B8B-4293-BB74-DFB80E5BA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Rassi</dc:creator>
  <cp:keywords/>
  <dc:description/>
  <cp:lastModifiedBy>Rudner, Quinn (CTR)</cp:lastModifiedBy>
  <cp:revision>2</cp:revision>
  <dcterms:created xsi:type="dcterms:W3CDTF">2021-08-25T14:59:00Z</dcterms:created>
  <dcterms:modified xsi:type="dcterms:W3CDTF">2021-08-25T14:59:00Z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</Properties>
</file>